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D246" w14:textId="77777777" w:rsidR="00C66A72" w:rsidRDefault="00C66A72">
      <w:pPr>
        <w:jc w:val="center"/>
        <w:rPr>
          <w:rFonts w:ascii="Calibri" w:eastAsia="DejaVu Sans" w:hAnsi="Calibri" w:cs="Nimbus Roman No9 L;Times New Ro"/>
          <w:b/>
          <w:bCs/>
          <w:sz w:val="32"/>
          <w:szCs w:val="32"/>
          <w:lang w:bidi="ar-SA"/>
        </w:rPr>
      </w:pPr>
    </w:p>
    <w:p w14:paraId="4D42AF21" w14:textId="77777777" w:rsidR="00C66A72" w:rsidRDefault="00C66A72">
      <w:pPr>
        <w:pStyle w:val="Rigadintestazione"/>
        <w:jc w:val="both"/>
        <w:rPr>
          <w:rFonts w:ascii="Calibri" w:eastAsia="DejaVu Sans" w:hAnsi="Calibri" w:cs="Nimbus Roman No9 L;Times New Ro"/>
          <w:b/>
          <w:bCs/>
          <w:sz w:val="14"/>
          <w:szCs w:val="14"/>
          <w:lang w:bidi="ar-SA"/>
        </w:rPr>
      </w:pPr>
    </w:p>
    <w:p w14:paraId="12456DD1" w14:textId="77777777" w:rsidR="00C66A72" w:rsidRDefault="00A234FD">
      <w:pPr>
        <w:pStyle w:val="Rigadintestazione"/>
        <w:jc w:val="center"/>
        <w:rPr>
          <w:rFonts w:hint="eastAsia"/>
          <w:color w:val="CC0000"/>
        </w:rPr>
      </w:pPr>
      <w:r>
        <w:rPr>
          <w:rFonts w:ascii="Calibri" w:eastAsia="DejaVu Sans" w:hAnsi="Calibri" w:cs="Nimbus Roman No9 L;Times New Ro"/>
          <w:b/>
          <w:bCs/>
          <w:color w:val="CC0000"/>
          <w:sz w:val="28"/>
          <w:szCs w:val="28"/>
          <w:lang w:bidi="ar-SA"/>
        </w:rPr>
        <w:t>GLT CONSUMO CRITICO E PROMOZIONE RETI ECONOMIA SOLIDALE</w:t>
      </w:r>
    </w:p>
    <w:p w14:paraId="0C92A2D3" w14:textId="77777777" w:rsidR="00C66A72" w:rsidRDefault="00A234FD">
      <w:pPr>
        <w:pStyle w:val="Rigadintestazione"/>
        <w:jc w:val="center"/>
        <w:rPr>
          <w:rFonts w:hint="eastAsia"/>
          <w:sz w:val="28"/>
          <w:szCs w:val="28"/>
        </w:rPr>
      </w:pPr>
      <w:r>
        <w:rPr>
          <w:rFonts w:ascii="Calibri" w:eastAsia="DejaVu Sans" w:hAnsi="Calibri" w:cs="Nimbus Roman No9 L;Times New Ro"/>
          <w:b/>
          <w:bCs/>
          <w:color w:val="000000"/>
          <w:sz w:val="28"/>
          <w:szCs w:val="28"/>
          <w:lang w:bidi="ar-SA"/>
        </w:rPr>
        <w:t xml:space="preserve">Linea finale comune - Animatore territoriale dell’economia solidale </w:t>
      </w:r>
    </w:p>
    <w:p w14:paraId="707D3F75" w14:textId="77777777" w:rsidR="00C66A72" w:rsidRDefault="00C66A72">
      <w:pPr>
        <w:pStyle w:val="Rigadintestazione"/>
        <w:jc w:val="both"/>
        <w:rPr>
          <w:rFonts w:ascii="Calibri" w:eastAsia="DejaVu Sans" w:hAnsi="Calibri" w:cs="Nimbus Roman No9 L;Times New Ro"/>
          <w:b/>
          <w:bCs/>
          <w:color w:val="000000"/>
          <w:lang w:bidi="ar-SA"/>
        </w:rPr>
      </w:pPr>
    </w:p>
    <w:p w14:paraId="0FF85E4C" w14:textId="77777777" w:rsidR="00C66A72" w:rsidRDefault="00A234FD">
      <w:pPr>
        <w:pStyle w:val="Rigadintestazione"/>
        <w:jc w:val="both"/>
        <w:rPr>
          <w:rFonts w:hint="eastAsia"/>
        </w:rPr>
      </w:pPr>
      <w:r>
        <w:rPr>
          <w:rFonts w:ascii="Calibri" w:eastAsia="DejaVu Sans" w:hAnsi="Calibri" w:cs="Nimbus Roman No9 L;Times New Ro"/>
          <w:b/>
          <w:bCs/>
          <w:color w:val="000000"/>
          <w:lang w:bidi="ar-SA"/>
        </w:rPr>
        <w:t xml:space="preserve">Gruppo di lavoro </w:t>
      </w:r>
    </w:p>
    <w:p w14:paraId="46464793" w14:textId="77777777" w:rsidR="00C66A72" w:rsidRDefault="00A234FD">
      <w:pPr>
        <w:pStyle w:val="Rigadintestazione"/>
        <w:jc w:val="both"/>
        <w:rPr>
          <w:rFonts w:hint="eastAsia"/>
          <w:sz w:val="22"/>
          <w:szCs w:val="22"/>
        </w:rPr>
      </w:pPr>
      <w:r>
        <w:rPr>
          <w:rFonts w:ascii="Calibri" w:eastAsia="DejaVu Sans" w:hAnsi="Calibri" w:cs="Nimbus Roman No9 L;Times New Ro"/>
          <w:color w:val="000000"/>
          <w:sz w:val="22"/>
          <w:szCs w:val="22"/>
          <w:lang w:bidi="ar-SA"/>
        </w:rPr>
        <w:t xml:space="preserve">Sabina </w:t>
      </w:r>
      <w:proofErr w:type="spellStart"/>
      <w:r>
        <w:rPr>
          <w:rFonts w:ascii="Calibri" w:eastAsia="DejaVu Sans" w:hAnsi="Calibri" w:cs="Nimbus Roman No9 L;Times New Ro"/>
          <w:color w:val="000000"/>
          <w:sz w:val="22"/>
          <w:szCs w:val="22"/>
          <w:lang w:bidi="ar-SA"/>
        </w:rPr>
        <w:t>Breveglieri</w:t>
      </w:r>
      <w:proofErr w:type="spellEnd"/>
      <w:r>
        <w:rPr>
          <w:rFonts w:ascii="Calibri" w:eastAsia="DejaVu Sans" w:hAnsi="Calibri" w:cs="Nimbus Roman No9 L;Times New Ro"/>
          <w:color w:val="000000"/>
          <w:sz w:val="22"/>
          <w:szCs w:val="22"/>
          <w:lang w:bidi="ar-SA"/>
        </w:rPr>
        <w:t xml:space="preserve">, Laura Biondi, Andrea Bonvicini, Fulvio Bucci, Stefano Carati, Davide Conti, Maurizio </w:t>
      </w:r>
      <w:proofErr w:type="spellStart"/>
      <w:r>
        <w:rPr>
          <w:rFonts w:ascii="Calibri" w:eastAsia="DejaVu Sans" w:hAnsi="Calibri" w:cs="Nimbus Roman No9 L;Times New Ro"/>
          <w:color w:val="000000"/>
          <w:sz w:val="22"/>
          <w:szCs w:val="22"/>
          <w:lang w:bidi="ar-SA"/>
        </w:rPr>
        <w:t>Davolio</w:t>
      </w:r>
      <w:proofErr w:type="spellEnd"/>
      <w:r>
        <w:rPr>
          <w:rFonts w:ascii="Calibri" w:eastAsia="DejaVu Sans" w:hAnsi="Calibri" w:cs="Nimbus Roman No9 L;Times New Ro"/>
          <w:color w:val="000000"/>
          <w:sz w:val="22"/>
          <w:szCs w:val="22"/>
          <w:lang w:bidi="ar-SA"/>
        </w:rPr>
        <w:t xml:space="preserve">, Dalma </w:t>
      </w:r>
      <w:proofErr w:type="spellStart"/>
      <w:r>
        <w:rPr>
          <w:rFonts w:ascii="Calibri" w:eastAsia="DejaVu Sans" w:hAnsi="Calibri" w:cs="Nimbus Roman No9 L;Times New Ro"/>
          <w:color w:val="000000"/>
          <w:sz w:val="22"/>
          <w:szCs w:val="22"/>
          <w:lang w:bidi="ar-SA"/>
        </w:rPr>
        <w:t>Domeneghini</w:t>
      </w:r>
      <w:proofErr w:type="spellEnd"/>
      <w:r>
        <w:rPr>
          <w:rFonts w:ascii="Calibri" w:eastAsia="DejaVu Sans" w:hAnsi="Calibri" w:cs="Nimbus Roman No9 L;Times New Ro"/>
          <w:color w:val="000000"/>
          <w:sz w:val="22"/>
          <w:szCs w:val="22"/>
          <w:lang w:bidi="ar-SA"/>
        </w:rPr>
        <w:t xml:space="preserve">, Vittorio Gimigliano, Giulia </w:t>
      </w:r>
      <w:proofErr w:type="spellStart"/>
      <w:r>
        <w:rPr>
          <w:rFonts w:ascii="Calibri" w:eastAsia="DejaVu Sans" w:hAnsi="Calibri" w:cs="Nimbus Roman No9 L;Times New Ro"/>
          <w:color w:val="000000"/>
          <w:sz w:val="22"/>
          <w:szCs w:val="22"/>
          <w:lang w:bidi="ar-SA"/>
        </w:rPr>
        <w:t>Landriscina</w:t>
      </w:r>
      <w:proofErr w:type="spellEnd"/>
      <w:r>
        <w:rPr>
          <w:rFonts w:ascii="Calibri" w:eastAsia="DejaVu Sans" w:hAnsi="Calibri" w:cs="Nimbus Roman No9 L;Times New Ro"/>
          <w:color w:val="000000"/>
          <w:sz w:val="22"/>
          <w:szCs w:val="22"/>
          <w:lang w:bidi="ar-SA"/>
        </w:rPr>
        <w:t xml:space="preserve">, Carlo Lugli, Pietro Passarella, Katia </w:t>
      </w:r>
      <w:proofErr w:type="spellStart"/>
      <w:r>
        <w:rPr>
          <w:rFonts w:ascii="Calibri" w:eastAsia="DejaVu Sans" w:hAnsi="Calibri" w:cs="Nimbus Roman No9 L;Times New Ro"/>
          <w:color w:val="000000"/>
          <w:sz w:val="22"/>
          <w:szCs w:val="22"/>
          <w:lang w:bidi="ar-SA"/>
        </w:rPr>
        <w:t>Rindone</w:t>
      </w:r>
      <w:proofErr w:type="spellEnd"/>
      <w:r>
        <w:rPr>
          <w:rFonts w:ascii="Calibri" w:eastAsia="DejaVu Sans" w:hAnsi="Calibri" w:cs="Nimbus Roman No9 L;Times New Ro"/>
          <w:color w:val="000000"/>
          <w:sz w:val="22"/>
          <w:szCs w:val="22"/>
          <w:lang w:bidi="ar-SA"/>
        </w:rPr>
        <w:t xml:space="preserve">, Mauro Serventi, Carlotta </w:t>
      </w:r>
      <w:proofErr w:type="spellStart"/>
      <w:r>
        <w:rPr>
          <w:rFonts w:ascii="Calibri" w:eastAsia="DejaVu Sans" w:hAnsi="Calibri" w:cs="Nimbus Roman No9 L;Times New Ro"/>
          <w:color w:val="000000"/>
          <w:sz w:val="22"/>
          <w:szCs w:val="22"/>
          <w:lang w:bidi="ar-SA"/>
        </w:rPr>
        <w:t>Taddei</w:t>
      </w:r>
      <w:proofErr w:type="spellEnd"/>
      <w:r>
        <w:rPr>
          <w:rFonts w:ascii="Calibri" w:eastAsia="DejaVu Sans" w:hAnsi="Calibri" w:cs="Nimbus Roman No9 L;Times New Ro"/>
          <w:color w:val="000000"/>
          <w:sz w:val="22"/>
          <w:szCs w:val="22"/>
          <w:lang w:bidi="ar-SA"/>
        </w:rPr>
        <w:t xml:space="preserve">, Dario </w:t>
      </w:r>
      <w:proofErr w:type="spellStart"/>
      <w:r>
        <w:rPr>
          <w:rFonts w:ascii="Calibri" w:eastAsia="DejaVu Sans" w:hAnsi="Calibri" w:cs="Nimbus Roman No9 L;Times New Ro"/>
          <w:color w:val="000000"/>
          <w:sz w:val="22"/>
          <w:szCs w:val="22"/>
          <w:lang w:bidi="ar-SA"/>
        </w:rPr>
        <w:t>Tuorto</w:t>
      </w:r>
      <w:proofErr w:type="spellEnd"/>
      <w:r>
        <w:rPr>
          <w:rFonts w:ascii="Calibri" w:eastAsia="DejaVu Sans" w:hAnsi="Calibri" w:cs="Nimbus Roman No9 L;Times New Ro"/>
          <w:color w:val="000000"/>
          <w:sz w:val="22"/>
          <w:szCs w:val="22"/>
          <w:lang w:bidi="ar-SA"/>
        </w:rPr>
        <w:t>.</w:t>
      </w:r>
    </w:p>
    <w:p w14:paraId="1134B490" w14:textId="77777777" w:rsidR="00C66A72" w:rsidRDefault="00A234FD">
      <w:pPr>
        <w:pStyle w:val="Rigadintestazione"/>
        <w:spacing w:before="57"/>
        <w:jc w:val="both"/>
        <w:rPr>
          <w:rFonts w:hint="eastAsia"/>
        </w:rPr>
      </w:pPr>
      <w:r>
        <w:rPr>
          <w:rFonts w:ascii="Calibri" w:eastAsia="DejaVu Sans" w:hAnsi="Calibri" w:cs="Nimbus Roman No9 L;Times New Ro"/>
          <w:b/>
          <w:bCs/>
          <w:color w:val="000000"/>
          <w:lang w:bidi="ar-SA"/>
        </w:rPr>
        <w:t>Referenti del GLT al Tavolo Permanente</w:t>
      </w:r>
    </w:p>
    <w:p w14:paraId="2DFFA9D7" w14:textId="77777777" w:rsidR="00C66A72" w:rsidRDefault="00A234FD">
      <w:pPr>
        <w:pStyle w:val="Rigadintestazione"/>
        <w:jc w:val="both"/>
        <w:rPr>
          <w:rFonts w:ascii="Calibri" w:eastAsia="DejaVu Sans" w:hAnsi="Calibri" w:cs="Nimbus Roman No9 L;Times New Ro"/>
          <w:color w:val="000000"/>
          <w:sz w:val="22"/>
          <w:szCs w:val="22"/>
          <w:lang w:bidi="ar-SA"/>
        </w:rPr>
      </w:pPr>
      <w:r>
        <w:rPr>
          <w:rFonts w:ascii="Calibri" w:eastAsia="DejaVu Sans" w:hAnsi="Calibri" w:cs="Nimbus Roman No9 L;Times New Ro"/>
          <w:color w:val="000000"/>
          <w:sz w:val="22"/>
          <w:szCs w:val="22"/>
          <w:lang w:bidi="ar-SA"/>
        </w:rPr>
        <w:t xml:space="preserve">Giulia </w:t>
      </w:r>
      <w:proofErr w:type="spellStart"/>
      <w:r>
        <w:rPr>
          <w:rFonts w:ascii="Calibri" w:eastAsia="DejaVu Sans" w:hAnsi="Calibri" w:cs="Nimbus Roman No9 L;Times New Ro"/>
          <w:color w:val="000000"/>
          <w:sz w:val="22"/>
          <w:szCs w:val="22"/>
          <w:lang w:bidi="ar-SA"/>
        </w:rPr>
        <w:t>Landriscina</w:t>
      </w:r>
      <w:proofErr w:type="spellEnd"/>
      <w:r>
        <w:rPr>
          <w:rFonts w:ascii="Calibri" w:eastAsia="DejaVu Sans" w:hAnsi="Calibri" w:cs="Nimbus Roman No9 L;Times New Ro"/>
          <w:color w:val="000000"/>
          <w:sz w:val="22"/>
          <w:szCs w:val="22"/>
          <w:lang w:bidi="ar-SA"/>
        </w:rPr>
        <w:t>, Stefano Carati</w:t>
      </w:r>
    </w:p>
    <w:p w14:paraId="4423796B" w14:textId="77777777" w:rsidR="00C66A72" w:rsidRDefault="00A234FD">
      <w:pPr>
        <w:pStyle w:val="Rigadintestazione"/>
        <w:spacing w:before="57"/>
        <w:jc w:val="both"/>
        <w:rPr>
          <w:rFonts w:hint="eastAsia"/>
        </w:rPr>
      </w:pPr>
      <w:r>
        <w:rPr>
          <w:rFonts w:ascii="Calibri" w:eastAsia="DejaVu Sans" w:hAnsi="Calibri" w:cs="Nimbus Roman No9 L;Times New Ro"/>
          <w:b/>
          <w:bCs/>
          <w:color w:val="000000"/>
          <w:lang w:bidi="ar-SA"/>
        </w:rPr>
        <w:t xml:space="preserve">Descrizione della proposta </w:t>
      </w:r>
    </w:p>
    <w:p w14:paraId="1FF5CF52" w14:textId="77777777" w:rsidR="00C66A72" w:rsidRDefault="00A234FD">
      <w:pPr>
        <w:pStyle w:val="Rigadintestazione"/>
        <w:tabs>
          <w:tab w:val="clear" w:pos="4819"/>
          <w:tab w:val="clear" w:pos="9638"/>
          <w:tab w:val="left" w:pos="285"/>
        </w:tabs>
        <w:jc w:val="both"/>
        <w:rPr>
          <w:rFonts w:hint="eastAsia"/>
          <w:sz w:val="22"/>
          <w:szCs w:val="22"/>
        </w:rPr>
      </w:pPr>
      <w:r>
        <w:rPr>
          <w:rFonts w:ascii="Calibri" w:eastAsia="DejaVu Sans" w:hAnsi="Calibri" w:cs="Nimbus Roman No9 L;Times New Ro"/>
          <w:color w:val="000000"/>
          <w:sz w:val="22"/>
          <w:szCs w:val="22"/>
          <w:lang w:bidi="ar-SA"/>
        </w:rPr>
        <w:t xml:space="preserve">Le trasformazioni seguenti ai processi di globalizzazione e alle crisi finanziarie ravvicinate hanno reso molto vulnerabile il nostro tessuto economico e sociale. </w:t>
      </w:r>
      <w:proofErr w:type="gramStart"/>
      <w:r>
        <w:rPr>
          <w:rFonts w:ascii="Calibri" w:eastAsia="DejaVu Sans" w:hAnsi="Calibri" w:cs="Nimbus Roman No9 L;Times New Ro"/>
          <w:color w:val="000000"/>
          <w:sz w:val="22"/>
          <w:szCs w:val="22"/>
          <w:lang w:bidi="ar-SA"/>
        </w:rPr>
        <w:t>E’</w:t>
      </w:r>
      <w:proofErr w:type="gramEnd"/>
      <w:r>
        <w:rPr>
          <w:rFonts w:ascii="Calibri" w:eastAsia="DejaVu Sans" w:hAnsi="Calibri" w:cs="Nimbus Roman No9 L;Times New Ro"/>
          <w:color w:val="000000"/>
          <w:sz w:val="22"/>
          <w:szCs w:val="22"/>
          <w:lang w:bidi="ar-SA"/>
        </w:rPr>
        <w:t xml:space="preserve"> necessario individuare strategie di sviluppo condivise, sostenibili e in linea con i valori dell'economia solidale e affiancare gli attori (imprese, cittadini, istituzioni, </w:t>
      </w:r>
      <w:proofErr w:type="spellStart"/>
      <w:r>
        <w:rPr>
          <w:rFonts w:ascii="Calibri" w:eastAsia="DejaVu Sans" w:hAnsi="Calibri" w:cs="Nimbus Roman No9 L;Times New Ro"/>
          <w:color w:val="000000"/>
          <w:sz w:val="22"/>
          <w:szCs w:val="22"/>
          <w:lang w:bidi="ar-SA"/>
        </w:rPr>
        <w:t>stakeholders</w:t>
      </w:r>
      <w:proofErr w:type="spellEnd"/>
      <w:r>
        <w:rPr>
          <w:rFonts w:ascii="Calibri" w:eastAsia="DejaVu Sans" w:hAnsi="Calibri" w:cs="Nimbus Roman No9 L;Times New Ro"/>
          <w:color w:val="000000"/>
          <w:sz w:val="22"/>
          <w:szCs w:val="22"/>
          <w:lang w:bidi="ar-SA"/>
        </w:rPr>
        <w:t>) nella creazione di reti e alleanze strategiche per progetti a beneficio della collettività.</w:t>
      </w:r>
    </w:p>
    <w:p w14:paraId="341F4146" w14:textId="77777777" w:rsidR="00C66A72" w:rsidRDefault="00A234FD">
      <w:pPr>
        <w:pStyle w:val="Rigadintestazione"/>
        <w:tabs>
          <w:tab w:val="clear" w:pos="4819"/>
          <w:tab w:val="clear" w:pos="9638"/>
          <w:tab w:val="left" w:pos="285"/>
        </w:tabs>
        <w:jc w:val="both"/>
        <w:rPr>
          <w:rFonts w:hint="eastAsia"/>
          <w:sz w:val="22"/>
          <w:szCs w:val="22"/>
        </w:rPr>
      </w:pPr>
      <w:r>
        <w:rPr>
          <w:rFonts w:ascii="Calibri" w:eastAsia="DejaVu Sans" w:hAnsi="Calibri" w:cs="Nimbus Roman No9 L;Times New Ro"/>
          <w:color w:val="000000"/>
          <w:sz w:val="22"/>
          <w:szCs w:val="22"/>
          <w:lang w:bidi="ar-SA"/>
        </w:rPr>
        <w:t xml:space="preserve">Per raggiungere questi obiettivi la proposta si focalizza sulla definizione e messa in campo delle figure dei </w:t>
      </w:r>
      <w:r>
        <w:rPr>
          <w:rFonts w:ascii="Calibri" w:eastAsia="DejaVu Sans" w:hAnsi="Calibri" w:cs="Nimbus Roman No9 L;Times New Ro"/>
          <w:b/>
          <w:bCs/>
          <w:color w:val="000000"/>
          <w:sz w:val="22"/>
          <w:szCs w:val="22"/>
          <w:lang w:bidi="ar-SA"/>
        </w:rPr>
        <w:t xml:space="preserve">“animatori dell’economia solidale” </w:t>
      </w:r>
      <w:r>
        <w:rPr>
          <w:rFonts w:ascii="Calibri" w:eastAsia="DejaVu Sans" w:hAnsi="Calibri" w:cs="Nimbus Roman No9 L;Times New Ro"/>
          <w:color w:val="000000"/>
          <w:sz w:val="22"/>
          <w:szCs w:val="22"/>
          <w:lang w:bidi="ar-SA"/>
        </w:rPr>
        <w:t xml:space="preserve">operativi a livello territoriale e coordinati a livello regionale, il cui operato sarà monitorato dall’Osservatorio. </w:t>
      </w:r>
    </w:p>
    <w:p w14:paraId="2E17F505" w14:textId="77777777" w:rsidR="00C66A72" w:rsidRDefault="00A234FD">
      <w:pPr>
        <w:pStyle w:val="Rigadintestazione"/>
        <w:tabs>
          <w:tab w:val="clear" w:pos="4819"/>
          <w:tab w:val="clear" w:pos="9638"/>
          <w:tab w:val="left" w:pos="285"/>
        </w:tabs>
        <w:jc w:val="both"/>
        <w:rPr>
          <w:rFonts w:hint="eastAsia"/>
        </w:rPr>
      </w:pPr>
      <w:r>
        <w:rPr>
          <w:rFonts w:ascii="Calibri" w:eastAsia="DejaVu Sans" w:hAnsi="Calibri" w:cs="Nimbus Roman No9 L;Times New Ro"/>
          <w:color w:val="000000"/>
          <w:sz w:val="22"/>
          <w:szCs w:val="22"/>
          <w:lang w:bidi="ar-SA"/>
        </w:rPr>
        <w:t xml:space="preserve">Gli animatori dell’economia solidale, che </w:t>
      </w:r>
      <w:r>
        <w:rPr>
          <w:rFonts w:ascii="Calibri" w:eastAsia="DejaVu Sans" w:hAnsi="Calibri" w:cs="Nimbus Roman No9 L;Times New Ro"/>
          <w:b/>
          <w:bCs/>
          <w:color w:val="000000"/>
          <w:sz w:val="22"/>
          <w:szCs w:val="22"/>
          <w:lang w:bidi="ar-SA"/>
        </w:rPr>
        <w:t xml:space="preserve">operano sul territorio intercettandone i fabbisogni, promuovono la crescita della rete e lo sviluppo di nuovi soggetti dell’economia solidale (networking), diffondono e implementano le best </w:t>
      </w:r>
      <w:proofErr w:type="spellStart"/>
      <w:r>
        <w:rPr>
          <w:rFonts w:ascii="Calibri" w:eastAsia="DejaVu Sans" w:hAnsi="Calibri" w:cs="Nimbus Roman No9 L;Times New Ro"/>
          <w:b/>
          <w:bCs/>
          <w:color w:val="000000"/>
          <w:sz w:val="22"/>
          <w:szCs w:val="22"/>
          <w:lang w:bidi="ar-SA"/>
        </w:rPr>
        <w:t>practice</w:t>
      </w:r>
      <w:proofErr w:type="spellEnd"/>
      <w:r>
        <w:rPr>
          <w:rFonts w:ascii="Calibri" w:eastAsia="DejaVu Sans" w:hAnsi="Calibri" w:cs="Nimbus Roman No9 L;Times New Ro"/>
          <w:b/>
          <w:bCs/>
          <w:color w:val="000000"/>
          <w:sz w:val="22"/>
          <w:szCs w:val="22"/>
          <w:lang w:bidi="ar-SA"/>
        </w:rPr>
        <w:t>, forniscono assistenza tecnica alla concertazione e alla progettazione di piani e progetti di sviluppo locale</w:t>
      </w:r>
      <w:r>
        <w:rPr>
          <w:rFonts w:ascii="Calibri" w:eastAsia="DejaVu Sans" w:hAnsi="Calibri" w:cs="Nimbus Roman No9 L;Times New Ro"/>
          <w:color w:val="000000"/>
          <w:sz w:val="22"/>
          <w:szCs w:val="22"/>
          <w:lang w:bidi="ar-SA"/>
        </w:rPr>
        <w:t xml:space="preserve">, in totale coerenza con la </w:t>
      </w:r>
      <w:r>
        <w:rPr>
          <w:rStyle w:val="Enfasiforte"/>
          <w:rFonts w:ascii="Calibri" w:eastAsia="DejaVu Sans" w:hAnsi="Calibri" w:cs="Nimbus Roman No9 L;Times New Ro"/>
          <w:b w:val="0"/>
          <w:bCs w:val="0"/>
          <w:color w:val="000000"/>
          <w:sz w:val="22"/>
          <w:szCs w:val="22"/>
          <w:lang w:bidi="ar-SA"/>
        </w:rPr>
        <w:t>L.R. 19/2014 "</w:t>
      </w:r>
      <w:r>
        <w:rPr>
          <w:rStyle w:val="Enfasiforte"/>
          <w:rFonts w:ascii="Calibri" w:eastAsia="DejaVu Sans" w:hAnsi="Calibri" w:cs="Nimbus Roman No9 L;Times New Ro"/>
          <w:b w:val="0"/>
          <w:bCs w:val="0"/>
          <w:i/>
          <w:iCs/>
          <w:color w:val="000000"/>
          <w:sz w:val="22"/>
          <w:szCs w:val="22"/>
          <w:lang w:bidi="ar-SA"/>
        </w:rPr>
        <w:t>Art. 4</w:t>
      </w:r>
      <w:r>
        <w:rPr>
          <w:rFonts w:ascii="Calibri" w:eastAsia="DejaVu Sans" w:hAnsi="Calibri" w:cs="Nimbus Roman No9 L;Times New Ro"/>
          <w:i/>
          <w:iCs/>
          <w:color w:val="000000"/>
          <w:sz w:val="22"/>
          <w:szCs w:val="22"/>
          <w:lang w:bidi="ar-SA"/>
        </w:rPr>
        <w:t xml:space="preserve"> Misure di sostegno - </w:t>
      </w:r>
      <w:r>
        <w:rPr>
          <w:rStyle w:val="Enfasiforte"/>
          <w:rFonts w:ascii="Calibri" w:eastAsia="DejaVu Sans" w:hAnsi="Calibri" w:cs="Nimbus Roman No9 L;Times New Ro"/>
          <w:b w:val="0"/>
          <w:bCs w:val="0"/>
          <w:color w:val="000000"/>
          <w:sz w:val="22"/>
          <w:szCs w:val="22"/>
          <w:lang w:bidi="ar-SA"/>
        </w:rPr>
        <w:t>1.</w:t>
      </w:r>
      <w:r>
        <w:rPr>
          <w:rStyle w:val="Enfasiforte"/>
          <w:rFonts w:ascii="Calibri" w:eastAsia="DejaVu Sans" w:hAnsi="Calibri" w:cs="Nimbus Roman No9 L;Times New Ro"/>
          <w:b w:val="0"/>
          <w:bCs w:val="0"/>
          <w:i/>
          <w:iCs/>
          <w:color w:val="000000"/>
          <w:sz w:val="22"/>
          <w:szCs w:val="22"/>
          <w:lang w:bidi="ar-SA"/>
        </w:rPr>
        <w:t xml:space="preserve"> </w:t>
      </w:r>
      <w:r>
        <w:rPr>
          <w:rFonts w:ascii="Calibri" w:eastAsia="DejaVu Sans" w:hAnsi="Calibri" w:cs="Nimbus Roman No9 L;Times New Ro"/>
          <w:i/>
          <w:iCs/>
          <w:color w:val="000000"/>
          <w:sz w:val="22"/>
          <w:szCs w:val="22"/>
          <w:lang w:bidi="ar-SA"/>
        </w:rPr>
        <w:t xml:space="preserve">La Regione Emilia-Romagna, nell’ambito del proprio sistema di decentramento territoriale e attraverso il coinvolgimento e la collaborazione degli Enti Locali e degli altri soggetti istituzionali, nei limiti delle rispettive competenze, ai sensi di quanto previsto all’articolo 2, adotta iniziative e interventi volti a valorizzare, promuovere e sostenere: </w:t>
      </w:r>
      <w:proofErr w:type="spellStart"/>
      <w:r>
        <w:rPr>
          <w:rStyle w:val="Enfasiforte"/>
          <w:rFonts w:ascii="Calibri" w:eastAsia="DejaVu Sans" w:hAnsi="Calibri" w:cs="Nimbus Roman No9 L;Times New Ro"/>
          <w:b w:val="0"/>
          <w:bCs w:val="0"/>
          <w:color w:val="000000"/>
          <w:sz w:val="22"/>
          <w:szCs w:val="22"/>
          <w:lang w:bidi="ar-SA"/>
        </w:rPr>
        <w:t>lett</w:t>
      </w:r>
      <w:proofErr w:type="spellEnd"/>
      <w:r>
        <w:rPr>
          <w:rStyle w:val="Enfasiforte"/>
          <w:rFonts w:ascii="Calibri" w:eastAsia="DejaVu Sans" w:hAnsi="Calibri" w:cs="Nimbus Roman No9 L;Times New Ro"/>
          <w:b w:val="0"/>
          <w:bCs w:val="0"/>
          <w:color w:val="000000"/>
          <w:sz w:val="22"/>
          <w:szCs w:val="22"/>
          <w:lang w:bidi="ar-SA"/>
        </w:rPr>
        <w:t>. a)</w:t>
      </w:r>
      <w:r>
        <w:rPr>
          <w:rFonts w:ascii="Calibri" w:eastAsia="DejaVu Sans" w:hAnsi="Calibri" w:cs="Nimbus Roman No9 L;Times New Ro"/>
          <w:i/>
          <w:iCs/>
          <w:color w:val="000000"/>
          <w:sz w:val="22"/>
          <w:szCs w:val="22"/>
          <w:lang w:bidi="ar-SA"/>
        </w:rPr>
        <w:t xml:space="preserve"> lo sviluppo dell’Economia Solidale e la messa in rete dei soggetti che svolgono attività e iniziative in questo ambito; </w:t>
      </w:r>
      <w:proofErr w:type="spellStart"/>
      <w:r>
        <w:rPr>
          <w:rStyle w:val="Enfasiforte"/>
          <w:rFonts w:ascii="Calibri" w:eastAsia="DejaVu Sans" w:hAnsi="Calibri" w:cs="Nimbus Roman No9 L;Times New Ro"/>
          <w:b w:val="0"/>
          <w:bCs w:val="0"/>
          <w:i/>
          <w:iCs/>
          <w:color w:val="000000"/>
          <w:sz w:val="22"/>
          <w:szCs w:val="22"/>
          <w:lang w:bidi="ar-SA"/>
        </w:rPr>
        <w:t>lett</w:t>
      </w:r>
      <w:proofErr w:type="spellEnd"/>
      <w:r>
        <w:rPr>
          <w:rStyle w:val="Enfasiforte"/>
          <w:rFonts w:ascii="Calibri" w:eastAsia="DejaVu Sans" w:hAnsi="Calibri" w:cs="Nimbus Roman No9 L;Times New Ro"/>
          <w:b w:val="0"/>
          <w:bCs w:val="0"/>
          <w:i/>
          <w:iCs/>
          <w:color w:val="000000"/>
          <w:sz w:val="22"/>
          <w:szCs w:val="22"/>
          <w:lang w:bidi="ar-SA"/>
        </w:rPr>
        <w:t>. c)</w:t>
      </w:r>
      <w:r>
        <w:rPr>
          <w:rFonts w:ascii="Calibri" w:eastAsia="DejaVu Sans" w:hAnsi="Calibri" w:cs="Nimbus Roman No9 L;Times New Ro"/>
          <w:i/>
          <w:iCs/>
          <w:color w:val="000000"/>
          <w:sz w:val="22"/>
          <w:szCs w:val="22"/>
          <w:lang w:bidi="ar-SA"/>
        </w:rPr>
        <w:t xml:space="preserve"> nel settore dei beni comuni e dei servizi collettivi: </w:t>
      </w:r>
      <w:r>
        <w:rPr>
          <w:rStyle w:val="Enfasiforte"/>
          <w:rFonts w:ascii="Calibri" w:eastAsia="DejaVu Sans" w:hAnsi="Calibri" w:cs="Nimbus Roman No9 L;Times New Ro"/>
          <w:b w:val="0"/>
          <w:bCs w:val="0"/>
          <w:i/>
          <w:iCs/>
          <w:color w:val="000000"/>
          <w:sz w:val="22"/>
          <w:szCs w:val="22"/>
          <w:lang w:bidi="ar-SA"/>
        </w:rPr>
        <w:t>punto 1</w:t>
      </w:r>
      <w:r>
        <w:rPr>
          <w:rFonts w:ascii="Calibri" w:eastAsia="DejaVu Sans" w:hAnsi="Calibri" w:cs="Nimbus Roman No9 L;Times New Ro"/>
          <w:i/>
          <w:iCs/>
          <w:color w:val="000000"/>
          <w:sz w:val="22"/>
          <w:szCs w:val="22"/>
          <w:lang w:bidi="ar-SA"/>
        </w:rPr>
        <w:t>) favorendo la realizzazione di progetti promossi in tale ambito dai soggetti dell’Economia Solidale di cui all’art. 2 lettera a) della presente legge"</w:t>
      </w:r>
      <w:r>
        <w:rPr>
          <w:rFonts w:ascii="Calibri" w:eastAsia="DejaVu Sans" w:hAnsi="Calibri" w:cs="Nimbus Roman No9 L;Times New Ro"/>
          <w:color w:val="000000"/>
          <w:sz w:val="22"/>
          <w:szCs w:val="22"/>
          <w:lang w:bidi="ar-SA"/>
        </w:rPr>
        <w:t>.</w:t>
      </w:r>
      <w:r>
        <w:rPr>
          <w:rFonts w:ascii="Calibri" w:eastAsia="DejaVu Sans" w:hAnsi="Calibri" w:cs="Nimbus Roman No9 L;Times New Ro"/>
          <w:i/>
          <w:iCs/>
          <w:color w:val="000000"/>
          <w:sz w:val="22"/>
          <w:szCs w:val="22"/>
          <w:lang w:bidi="ar-SA"/>
        </w:rPr>
        <w:t>”</w:t>
      </w:r>
      <w:r>
        <w:rPr>
          <w:rFonts w:ascii="Calibri" w:eastAsia="DejaVu Sans" w:hAnsi="Calibri" w:cs="Nimbus Roman No9 L;Times New Ro"/>
          <w:color w:val="000000"/>
          <w:sz w:val="22"/>
          <w:szCs w:val="22"/>
          <w:lang w:bidi="ar-SA"/>
        </w:rPr>
        <w:t>. L’idea è di attivare gli animatori affiancandoli ai progetti in corso, in particolare quello dei fondi di garanzia mutualistici (</w:t>
      </w:r>
      <w:proofErr w:type="spellStart"/>
      <w:r>
        <w:rPr>
          <w:rFonts w:ascii="Calibri" w:eastAsia="DejaVu Sans" w:hAnsi="Calibri" w:cs="Nimbus Roman No9 L;Times New Ro"/>
          <w:color w:val="000000"/>
          <w:sz w:val="22"/>
          <w:szCs w:val="22"/>
          <w:lang w:bidi="ar-SA"/>
        </w:rPr>
        <w:t>rif.</w:t>
      </w:r>
      <w:proofErr w:type="spellEnd"/>
      <w:r>
        <w:rPr>
          <w:rFonts w:ascii="Calibri" w:eastAsia="DejaVu Sans" w:hAnsi="Calibri" w:cs="Nimbus Roman No9 L;Times New Ro"/>
          <w:color w:val="000000"/>
          <w:sz w:val="22"/>
          <w:szCs w:val="22"/>
          <w:lang w:bidi="ar-SA"/>
        </w:rPr>
        <w:t xml:space="preserve"> GLT Finanza Etica Mutualistica e Solidale) e delle linee guida per le piccole produzioni alimentari (</w:t>
      </w:r>
      <w:proofErr w:type="spellStart"/>
      <w:r>
        <w:rPr>
          <w:rFonts w:ascii="Calibri" w:eastAsia="DejaVu Sans" w:hAnsi="Calibri" w:cs="Nimbus Roman No9 L;Times New Ro"/>
          <w:color w:val="000000"/>
          <w:sz w:val="22"/>
          <w:szCs w:val="22"/>
          <w:lang w:bidi="ar-SA"/>
        </w:rPr>
        <w:t>rif.</w:t>
      </w:r>
      <w:proofErr w:type="spellEnd"/>
      <w:r>
        <w:rPr>
          <w:rFonts w:ascii="Calibri" w:eastAsia="DejaVu Sans" w:hAnsi="Calibri" w:cs="Nimbus Roman No9 L;Times New Ro"/>
          <w:color w:val="000000"/>
          <w:sz w:val="22"/>
          <w:szCs w:val="22"/>
          <w:lang w:bidi="ar-SA"/>
        </w:rPr>
        <w:t xml:space="preserve"> GLT Agricoltura). Entrambi i progetti sono già operativi ed in grado di realizzare il percorso formativo per gli animatori per conto del soggetto gestore (nominato dal Forum), nonché di fornire il modello organizzativo entro cui operare.</w:t>
      </w:r>
    </w:p>
    <w:p w14:paraId="681F8B71" w14:textId="77777777" w:rsidR="00C66A72" w:rsidRDefault="00A234FD">
      <w:pPr>
        <w:pStyle w:val="Titolo2"/>
        <w:numPr>
          <w:ilvl w:val="1"/>
          <w:numId w:val="2"/>
        </w:numPr>
      </w:pPr>
      <w:proofErr w:type="spellStart"/>
      <w:r>
        <w:t>Perchè</w:t>
      </w:r>
      <w:proofErr w:type="spellEnd"/>
      <w:r>
        <w:t xml:space="preserve"> è utile </w:t>
      </w:r>
    </w:p>
    <w:p w14:paraId="1D356AF5" w14:textId="77777777" w:rsidR="00C66A72" w:rsidRDefault="00A234FD">
      <w:pPr>
        <w:jc w:val="both"/>
        <w:rPr>
          <w:rFonts w:hint="eastAsia"/>
          <w:sz w:val="22"/>
          <w:szCs w:val="22"/>
        </w:rPr>
      </w:pPr>
      <w:r>
        <w:rPr>
          <w:rFonts w:ascii="Calibri" w:eastAsia="DejaVu Sans" w:hAnsi="Calibri" w:cs="Nimbus Roman No9 L;Times New Ro"/>
          <w:color w:val="000000"/>
          <w:sz w:val="22"/>
          <w:szCs w:val="22"/>
          <w:lang w:bidi="ar-SA"/>
        </w:rPr>
        <w:t>Per favorire la coesione sociale, economica e istituzionale, rafforzare il ruolo e il radicamento nel territorio delle forze sociali, coinvolgere i privati negli obiettivi comuni dello sviluppo, favorire lo sviluppo di nuovi soggetti e reti, incrociare domande e offerte di fabbisogni economici, sociali, educativi, ecologici, culturali in linea con i principi dell’economia solidale.</w:t>
      </w:r>
    </w:p>
    <w:p w14:paraId="25550AFA" w14:textId="77777777" w:rsidR="00C66A72" w:rsidRDefault="00A234FD">
      <w:pPr>
        <w:pStyle w:val="Titolo2"/>
        <w:numPr>
          <w:ilvl w:val="1"/>
          <w:numId w:val="2"/>
        </w:numPr>
        <w:rPr>
          <w:sz w:val="24"/>
          <w:szCs w:val="24"/>
        </w:rPr>
      </w:pPr>
      <w:r>
        <w:rPr>
          <w:sz w:val="24"/>
          <w:szCs w:val="24"/>
        </w:rPr>
        <w:t>Beneficiari</w:t>
      </w:r>
    </w:p>
    <w:p w14:paraId="4A92E7B8" w14:textId="77777777" w:rsidR="00C66A72" w:rsidRDefault="00A234FD">
      <w:pPr>
        <w:pStyle w:val="Rigadintestazione"/>
        <w:jc w:val="both"/>
        <w:rPr>
          <w:rFonts w:hint="eastAsia"/>
          <w:sz w:val="22"/>
          <w:szCs w:val="22"/>
        </w:rPr>
      </w:pPr>
      <w:r>
        <w:rPr>
          <w:rFonts w:ascii="Calibri" w:eastAsia="DejaVu Sans" w:hAnsi="Calibri" w:cs="Nimbus Roman No9 L;Times New Ro"/>
          <w:color w:val="000000"/>
          <w:sz w:val="22"/>
          <w:szCs w:val="22"/>
          <w:lang w:bidi="ar-SA"/>
        </w:rPr>
        <w:t>Regione Emilia-Romagna, Enti locali, cittadini, associazioni, gruppi informali, reti, imprese.</w:t>
      </w:r>
    </w:p>
    <w:p w14:paraId="00D061F4" w14:textId="77777777" w:rsidR="00C66A72" w:rsidRDefault="00A234FD">
      <w:pPr>
        <w:pStyle w:val="Titolo2"/>
        <w:numPr>
          <w:ilvl w:val="1"/>
          <w:numId w:val="2"/>
        </w:numPr>
      </w:pPr>
      <w:r>
        <w:t>Cosa serve per metterla in atto</w:t>
      </w:r>
    </w:p>
    <w:p w14:paraId="554A7487" w14:textId="77777777" w:rsidR="00C66A72" w:rsidRDefault="00A234FD">
      <w:pPr>
        <w:pStyle w:val="Rigadintestazione"/>
        <w:jc w:val="both"/>
        <w:rPr>
          <w:rFonts w:hint="eastAsia"/>
          <w:sz w:val="22"/>
          <w:szCs w:val="22"/>
        </w:rPr>
      </w:pPr>
      <w:r>
        <w:rPr>
          <w:rFonts w:ascii="Calibri" w:eastAsia="DejaVu Sans" w:hAnsi="Calibri" w:cs="Nimbus Roman No9 L;Times New Ro"/>
          <w:color w:val="000000"/>
          <w:sz w:val="22"/>
          <w:szCs w:val="22"/>
          <w:lang w:bidi="ar-SA"/>
        </w:rPr>
        <w:t>Impegno istituzionale per il sostegno finanziario delle figure identificate.</w:t>
      </w:r>
    </w:p>
    <w:p w14:paraId="2465434D" w14:textId="77777777" w:rsidR="00C66A72" w:rsidRDefault="00A234FD">
      <w:pPr>
        <w:pStyle w:val="Rigadintestazione"/>
        <w:jc w:val="both"/>
        <w:rPr>
          <w:rFonts w:hint="eastAsia"/>
          <w:sz w:val="22"/>
          <w:szCs w:val="22"/>
        </w:rPr>
      </w:pPr>
      <w:r>
        <w:rPr>
          <w:rFonts w:ascii="Calibri" w:eastAsia="DejaVu Sans" w:hAnsi="Calibri" w:cs="Nimbus Roman No9 L;Times New Ro"/>
          <w:color w:val="000000"/>
          <w:sz w:val="22"/>
          <w:szCs w:val="22"/>
          <w:lang w:bidi="ar-SA"/>
        </w:rPr>
        <w:t>Co/organizzazione eventi territoriali per promuovere e diffondere modelli organizzativi e strumenti applicativi già presenti sul territorio per creare nuove realtà organizzate e dare impulso a quelle esistenti.</w:t>
      </w:r>
    </w:p>
    <w:p w14:paraId="5BD3A142" w14:textId="77777777" w:rsidR="00C66A72" w:rsidRDefault="00A234FD">
      <w:pPr>
        <w:pStyle w:val="Rigadintestazione"/>
        <w:jc w:val="both"/>
        <w:rPr>
          <w:rFonts w:hint="eastAsia"/>
          <w:sz w:val="22"/>
          <w:szCs w:val="22"/>
        </w:rPr>
      </w:pPr>
      <w:r>
        <w:rPr>
          <w:rFonts w:ascii="Calibri" w:eastAsia="DejaVu Sans" w:hAnsi="Calibri" w:cs="Nimbus Roman No9 L;Times New Ro"/>
          <w:color w:val="000000"/>
          <w:sz w:val="22"/>
          <w:szCs w:val="22"/>
          <w:lang w:bidi="ar-SA"/>
        </w:rPr>
        <w:t>Segreteria tecnico-organizzativa.</w:t>
      </w:r>
    </w:p>
    <w:p w14:paraId="60DE5B55" w14:textId="77777777" w:rsidR="00C66A72" w:rsidRDefault="00A234FD">
      <w:pPr>
        <w:pStyle w:val="Titolo2"/>
        <w:numPr>
          <w:ilvl w:val="1"/>
          <w:numId w:val="2"/>
        </w:numPr>
      </w:pPr>
      <w:r>
        <w:t>Chi sono i soggetti istituzionali coinvolti per l’avvio dell’idea</w:t>
      </w:r>
    </w:p>
    <w:p w14:paraId="4D62BD78" w14:textId="77777777" w:rsidR="00C66A72" w:rsidRDefault="00A234FD">
      <w:pPr>
        <w:pStyle w:val="Rigadintestazione"/>
        <w:jc w:val="both"/>
        <w:rPr>
          <w:rFonts w:hint="eastAsia"/>
          <w:sz w:val="22"/>
          <w:szCs w:val="22"/>
        </w:rPr>
      </w:pPr>
      <w:r>
        <w:rPr>
          <w:rFonts w:ascii="Calibri" w:eastAsia="DejaVu Sans" w:hAnsi="Calibri" w:cs="Nimbus Roman No9 L;Times New Ro"/>
          <w:color w:val="000000"/>
          <w:sz w:val="22"/>
          <w:szCs w:val="22"/>
          <w:lang w:bidi="ar-SA"/>
        </w:rPr>
        <w:t>RER, ART-ER, Forum / GLT Promozione Reti di Economia Solidale/ tutti i GLT della rete e reti già operative sul territorio.</w:t>
      </w:r>
    </w:p>
    <w:p w14:paraId="600B8C85" w14:textId="77777777" w:rsidR="00C66A72" w:rsidRDefault="00A234FD">
      <w:pPr>
        <w:pStyle w:val="Titolo2"/>
        <w:numPr>
          <w:ilvl w:val="1"/>
          <w:numId w:val="2"/>
        </w:numPr>
      </w:pPr>
      <w:r>
        <w:t>Sostenibilità economica</w:t>
      </w:r>
    </w:p>
    <w:p w14:paraId="361AA1AF" w14:textId="77777777" w:rsidR="00C66A72" w:rsidRDefault="00A234FD">
      <w:pPr>
        <w:jc w:val="both"/>
        <w:rPr>
          <w:rFonts w:hint="eastAsia"/>
          <w:sz w:val="22"/>
          <w:szCs w:val="22"/>
        </w:rPr>
      </w:pPr>
      <w:r>
        <w:rPr>
          <w:rFonts w:ascii="Calibri" w:eastAsia="DejaVu Sans" w:hAnsi="Calibri" w:cs="Nimbus Roman No9 L;Times New Ro"/>
          <w:color w:val="000000"/>
          <w:sz w:val="22"/>
          <w:szCs w:val="22"/>
          <w:lang w:bidi="ar-SA"/>
        </w:rPr>
        <w:t>Risorse economiche per l’avvio delle procedure concorsuali e per il sostegno finanziario delle figure identificate.</w:t>
      </w:r>
    </w:p>
    <w:p w14:paraId="36B98879" w14:textId="77777777" w:rsidR="00C66A72" w:rsidRDefault="00A234FD">
      <w:pPr>
        <w:jc w:val="both"/>
        <w:rPr>
          <w:rFonts w:hint="eastAsia"/>
          <w:sz w:val="22"/>
          <w:szCs w:val="22"/>
        </w:rPr>
      </w:pPr>
      <w:r>
        <w:rPr>
          <w:rFonts w:ascii="Calibri" w:eastAsia="DejaVu Sans" w:hAnsi="Calibri" w:cs="Nimbus Roman No9 L;Times New Ro"/>
          <w:color w:val="000000"/>
          <w:sz w:val="22"/>
          <w:szCs w:val="22"/>
          <w:lang w:bidi="ar-SA"/>
        </w:rPr>
        <w:t>Risorse economiche per le collaborazioni con le realtà del territorio per l’organizzazione e co-progettazione delle attività di networking.</w:t>
      </w:r>
    </w:p>
    <w:sectPr w:rsidR="00C66A72">
      <w:pgSz w:w="11906" w:h="16838"/>
      <w:pgMar w:top="420" w:right="1134" w:bottom="40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roman"/>
    <w:pitch w:val="variable"/>
  </w:font>
  <w:font w:name="Liberation Sans">
    <w:altName w:val="Arial"/>
    <w:panose1 w:val="020B0604020202020204"/>
    <w:charset w:val="00"/>
    <w:family w:val="roman"/>
    <w:pitch w:val="variable"/>
  </w:font>
  <w:font w:name="DejaVu Sans">
    <w:panose1 w:val="020B0604020202020204"/>
    <w:charset w:val="00"/>
    <w:family w:val="roman"/>
    <w:notTrueType/>
    <w:pitch w:val="default"/>
  </w:font>
  <w:font w:name="Nimbus Roman No9 L;Times New Ro">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7B95"/>
    <w:multiLevelType w:val="multilevel"/>
    <w:tmpl w:val="8D8A6B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FA3C9F"/>
    <w:multiLevelType w:val="multilevel"/>
    <w:tmpl w:val="C4300604"/>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72"/>
    <w:rsid w:val="00A234FD"/>
    <w:rsid w:val="00A8034D"/>
    <w:rsid w:val="00C66A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59B0"/>
  <w15:docId w15:val="{282F87DC-6CCD-48D5-88C4-0B145A80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2"/>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pPr>
    <w:rPr>
      <w:sz w:val="24"/>
    </w:rPr>
  </w:style>
  <w:style w:type="paragraph" w:styleId="Titolo2">
    <w:name w:val="heading 2"/>
    <w:basedOn w:val="Titolo"/>
    <w:next w:val="Corpotesto"/>
    <w:qFormat/>
    <w:pPr>
      <w:numPr>
        <w:ilvl w:val="1"/>
        <w:numId w:val="1"/>
      </w:numPr>
      <w:spacing w:before="57" w:after="0"/>
      <w:outlineLvl w:val="1"/>
    </w:pPr>
    <w:rPr>
      <w:rFonts w:ascii="Calibri" w:hAnsi="Calibri"/>
      <w:b/>
      <w:bCs/>
      <w:sz w:val="2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Enfasiforte">
    <w:name w:val="Enfasi forte"/>
    <w:qFormat/>
    <w:rPr>
      <w:b/>
      <w:bCs/>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Rigadintestazione">
    <w:name w:val="Riga d'intestazione"/>
    <w:basedOn w:val="Normale"/>
    <w:qFormat/>
    <w:pPr>
      <w:suppressLineNumbers/>
      <w:tabs>
        <w:tab w:val="center" w:pos="4819"/>
        <w:tab w:val="right" w:pos="9638"/>
      </w:tabs>
    </w:pPr>
  </w:style>
  <w:style w:type="paragraph" w:styleId="Testonotaapidipagina">
    <w:name w:val="footnote text"/>
    <w:basedOn w:val="Normale"/>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dc:description/>
  <cp:lastModifiedBy>Microsoft Office User</cp:lastModifiedBy>
  <cp:revision>2</cp:revision>
  <dcterms:created xsi:type="dcterms:W3CDTF">2021-02-11T21:44:00Z</dcterms:created>
  <dcterms:modified xsi:type="dcterms:W3CDTF">2021-02-11T21:44:00Z</dcterms:modified>
  <dc:language>it-IT</dc:language>
</cp:coreProperties>
</file>